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6901A9" w:rsidRPr="005F7A77" w:rsidRDefault="00000000">
      <w:pPr>
        <w:jc w:val="both"/>
        <w:rPr>
          <w:b/>
          <w:bCs/>
          <w:color w:val="000000" w:themeColor="text1"/>
          <w:sz w:val="24"/>
          <w:szCs w:val="24"/>
        </w:rPr>
      </w:pPr>
      <w:r w:rsidRPr="005F7A77">
        <w:rPr>
          <w:b/>
          <w:bCs/>
          <w:color w:val="000000" w:themeColor="text1"/>
          <w:sz w:val="24"/>
          <w:szCs w:val="24"/>
        </w:rPr>
        <w:t>HEDEFLER REVİZE EDİLİYOR, HAYAT PAHALILIĞI DERİNLEŞİYOR</w:t>
      </w:r>
    </w:p>
    <w:p w14:paraId="00000004" w14:textId="77777777" w:rsidR="006901A9" w:rsidRPr="005F7A77" w:rsidRDefault="00000000">
      <w:pPr>
        <w:jc w:val="both"/>
        <w:rPr>
          <w:color w:val="000000" w:themeColor="text1"/>
          <w:sz w:val="24"/>
          <w:szCs w:val="24"/>
        </w:rPr>
      </w:pPr>
      <w:r w:rsidRPr="005F7A77">
        <w:rPr>
          <w:color w:val="000000" w:themeColor="text1"/>
          <w:sz w:val="24"/>
          <w:szCs w:val="24"/>
        </w:rPr>
        <w:t xml:space="preserve">Ekonomide programlar değişiyor, hedefler </w:t>
      </w:r>
      <w:proofErr w:type="gramStart"/>
      <w:r w:rsidRPr="005F7A77">
        <w:rPr>
          <w:color w:val="000000" w:themeColor="text1"/>
          <w:sz w:val="24"/>
          <w:szCs w:val="24"/>
        </w:rPr>
        <w:t>revize ediliyor</w:t>
      </w:r>
      <w:proofErr w:type="gramEnd"/>
      <w:r w:rsidRPr="005F7A77">
        <w:rPr>
          <w:color w:val="000000" w:themeColor="text1"/>
          <w:sz w:val="24"/>
          <w:szCs w:val="24"/>
        </w:rPr>
        <w:t>, tarihler ileriye öteleniyor. Fakat vatandaşın alım gücünde ve mutfak hesabında maalesef bir iyileşme görülmüyor.</w:t>
      </w:r>
    </w:p>
    <w:p w14:paraId="00000005" w14:textId="77777777" w:rsidR="006901A9" w:rsidRPr="005F7A77" w:rsidRDefault="00000000">
      <w:pPr>
        <w:jc w:val="both"/>
        <w:rPr>
          <w:color w:val="000000" w:themeColor="text1"/>
          <w:sz w:val="24"/>
          <w:szCs w:val="24"/>
        </w:rPr>
      </w:pPr>
      <w:r w:rsidRPr="005F7A77">
        <w:rPr>
          <w:color w:val="000000" w:themeColor="text1"/>
          <w:sz w:val="24"/>
          <w:szCs w:val="24"/>
        </w:rPr>
        <w:t xml:space="preserve">2023’te açıklanan </w:t>
      </w:r>
      <w:proofErr w:type="spellStart"/>
      <w:r w:rsidRPr="005F7A77">
        <w:rPr>
          <w:color w:val="000000" w:themeColor="text1"/>
          <w:sz w:val="24"/>
          <w:szCs w:val="24"/>
        </w:rPr>
        <w:t>OVP’de</w:t>
      </w:r>
      <w:proofErr w:type="spellEnd"/>
      <w:r w:rsidRPr="005F7A77">
        <w:rPr>
          <w:color w:val="000000" w:themeColor="text1"/>
          <w:sz w:val="24"/>
          <w:szCs w:val="24"/>
        </w:rPr>
        <w:t xml:space="preserve"> 2026 yılı enflasyon hedefi yüzde 8,5 olarak belirlenmişti. Bugün ise 2026 için öngörülen oran yüzde 28,4. Yani üç yıl önce “2026’da tek haneli enflasyon” denirken bugün aynı hedef 2029’a bırakılıyor ve yüzde 9 olarak belirleniyor.</w:t>
      </w:r>
    </w:p>
    <w:p w14:paraId="00000006" w14:textId="77777777" w:rsidR="006901A9" w:rsidRPr="005F7A77" w:rsidRDefault="00000000">
      <w:pPr>
        <w:jc w:val="both"/>
        <w:rPr>
          <w:color w:val="000000" w:themeColor="text1"/>
          <w:sz w:val="24"/>
          <w:szCs w:val="24"/>
        </w:rPr>
      </w:pPr>
      <w:r w:rsidRPr="005F7A77">
        <w:rPr>
          <w:color w:val="000000" w:themeColor="text1"/>
          <w:sz w:val="24"/>
          <w:szCs w:val="24"/>
        </w:rPr>
        <w:t>Büyüme hedefinde de benzer bir tablo var. 2023’te 2026 için yüzde 5 büyüme hedeflenirken bugün bu oran yüzde 3,3’e çekiliyor. Yüzde 5’lik büyüme hedefi de 2029’a öteleniyor.</w:t>
      </w:r>
    </w:p>
    <w:p w14:paraId="00000007" w14:textId="77777777" w:rsidR="006901A9" w:rsidRPr="005F7A77" w:rsidRDefault="00000000">
      <w:pPr>
        <w:jc w:val="both"/>
        <w:rPr>
          <w:color w:val="000000" w:themeColor="text1"/>
          <w:sz w:val="24"/>
          <w:szCs w:val="24"/>
        </w:rPr>
      </w:pPr>
      <w:r w:rsidRPr="005F7A77">
        <w:rPr>
          <w:color w:val="000000" w:themeColor="text1"/>
          <w:sz w:val="24"/>
          <w:szCs w:val="24"/>
        </w:rPr>
        <w:t>Vatandaş açısından mesele, hedeflerin kâğıt üzerinde tutturulması değil, geçimin gerçekten kolaylaşıp kolaylaşmadığıdır. Kaldı ki açıklanan hedeflerin önemli bir bölümü kâğıt üzerinde dahi tutturulamamıştır.</w:t>
      </w:r>
    </w:p>
    <w:p w14:paraId="00000008" w14:textId="77777777" w:rsidR="006901A9" w:rsidRPr="005F7A77" w:rsidRDefault="00000000">
      <w:pPr>
        <w:jc w:val="both"/>
        <w:rPr>
          <w:color w:val="000000" w:themeColor="text1"/>
          <w:sz w:val="24"/>
          <w:szCs w:val="24"/>
        </w:rPr>
      </w:pPr>
      <w:r w:rsidRPr="005F7A77">
        <w:rPr>
          <w:color w:val="000000" w:themeColor="text1"/>
          <w:sz w:val="24"/>
          <w:szCs w:val="24"/>
        </w:rPr>
        <w:t>Hedeflerdeki bu sapmaların vatandaşın hayatındaki karşılığı ise hayat pahalılığı ve gelir kaybıdır. Ağustos ayında açlık sınırı 37 bin 388 liraya, yoksulluk sınırı 121 bin 786 liraya ulaştı. Buna karşılık kamu kaynaklarının nereye yöneldiğine baktığımızda Hazine’nin 1,915 trilyon lira faiz ödediğini, buna karşılık nakit açığının 1,40 trilyon lirada kaldığını görüyoruz.</w:t>
      </w:r>
    </w:p>
    <w:p w14:paraId="00000009" w14:textId="77777777" w:rsidR="006901A9" w:rsidRPr="005F7A77" w:rsidRDefault="00000000">
      <w:pPr>
        <w:jc w:val="both"/>
        <w:rPr>
          <w:color w:val="000000" w:themeColor="text1"/>
          <w:sz w:val="24"/>
          <w:szCs w:val="24"/>
        </w:rPr>
      </w:pPr>
      <w:r w:rsidRPr="005F7A77">
        <w:rPr>
          <w:color w:val="000000" w:themeColor="text1"/>
          <w:sz w:val="24"/>
          <w:szCs w:val="24"/>
        </w:rPr>
        <w:t xml:space="preserve">Enflasyon hedefi </w:t>
      </w:r>
      <w:proofErr w:type="spellStart"/>
      <w:r w:rsidRPr="005F7A77">
        <w:rPr>
          <w:color w:val="000000" w:themeColor="text1"/>
          <w:sz w:val="24"/>
          <w:szCs w:val="24"/>
        </w:rPr>
        <w:t>OVP’lerde</w:t>
      </w:r>
      <w:proofErr w:type="spellEnd"/>
      <w:r w:rsidRPr="005F7A77">
        <w:rPr>
          <w:color w:val="000000" w:themeColor="text1"/>
          <w:sz w:val="24"/>
          <w:szCs w:val="24"/>
        </w:rPr>
        <w:t xml:space="preserve"> 13 kez </w:t>
      </w:r>
      <w:proofErr w:type="gramStart"/>
      <w:r w:rsidRPr="005F7A77">
        <w:rPr>
          <w:color w:val="000000" w:themeColor="text1"/>
          <w:sz w:val="24"/>
          <w:szCs w:val="24"/>
        </w:rPr>
        <w:t>revize edildi</w:t>
      </w:r>
      <w:proofErr w:type="gramEnd"/>
      <w:r w:rsidRPr="005F7A77">
        <w:rPr>
          <w:color w:val="000000" w:themeColor="text1"/>
          <w:sz w:val="24"/>
          <w:szCs w:val="24"/>
        </w:rPr>
        <w:t xml:space="preserve"> ve maalesef kalıcı bir çözüm bulunamadı. Sorun artık yalnızca hedeflerin tutturulamaması değil, bu hedeflerin neden sürekli </w:t>
      </w:r>
      <w:proofErr w:type="gramStart"/>
      <w:r w:rsidRPr="005F7A77">
        <w:rPr>
          <w:color w:val="000000" w:themeColor="text1"/>
          <w:sz w:val="24"/>
          <w:szCs w:val="24"/>
        </w:rPr>
        <w:t>revize edilmek</w:t>
      </w:r>
      <w:proofErr w:type="gramEnd"/>
      <w:r w:rsidRPr="005F7A77">
        <w:rPr>
          <w:color w:val="000000" w:themeColor="text1"/>
          <w:sz w:val="24"/>
          <w:szCs w:val="24"/>
        </w:rPr>
        <w:t xml:space="preserve"> zorunda kaldığı ve vatandaşın neden bu yükü taşımaya devam ettiğidir. Artık hedefleri değil, ekonomik düzeni değiştirmeliyiz. Faize dayalı anlayış terk edilmeli; üretim, istihdam ve adil paylaşım esas alınarak “</w:t>
      </w:r>
      <w:r w:rsidRPr="005F7A77">
        <w:rPr>
          <w:b/>
          <w:bCs/>
          <w:color w:val="000000" w:themeColor="text1"/>
          <w:sz w:val="24"/>
          <w:szCs w:val="24"/>
        </w:rPr>
        <w:t>Faizsiz Türkiye Süreci”</w:t>
      </w:r>
      <w:r w:rsidRPr="005F7A77">
        <w:rPr>
          <w:color w:val="000000" w:themeColor="text1"/>
          <w:sz w:val="24"/>
          <w:szCs w:val="24"/>
        </w:rPr>
        <w:t xml:space="preserve"> başlatılmalıdır.</w:t>
      </w:r>
    </w:p>
    <w:p w14:paraId="0000000A" w14:textId="77777777" w:rsidR="006901A9" w:rsidRPr="005F7A77" w:rsidRDefault="006901A9">
      <w:pPr>
        <w:jc w:val="both"/>
        <w:rPr>
          <w:color w:val="000000" w:themeColor="text1"/>
          <w:sz w:val="24"/>
          <w:szCs w:val="24"/>
        </w:rPr>
      </w:pPr>
    </w:p>
    <w:p w14:paraId="0000000B" w14:textId="77777777" w:rsidR="006901A9" w:rsidRPr="005F7A77" w:rsidRDefault="00000000">
      <w:pPr>
        <w:jc w:val="both"/>
        <w:rPr>
          <w:b/>
          <w:bCs/>
          <w:color w:val="000000" w:themeColor="text1"/>
          <w:sz w:val="24"/>
          <w:szCs w:val="24"/>
        </w:rPr>
      </w:pPr>
      <w:r w:rsidRPr="005F7A77">
        <w:rPr>
          <w:b/>
          <w:bCs/>
          <w:color w:val="000000" w:themeColor="text1"/>
          <w:sz w:val="24"/>
          <w:szCs w:val="24"/>
        </w:rPr>
        <w:t>YÜKSEK KONUT KİRALARI</w:t>
      </w:r>
    </w:p>
    <w:p w14:paraId="0000000C" w14:textId="77777777" w:rsidR="006901A9" w:rsidRPr="005F7A77" w:rsidRDefault="00000000">
      <w:pPr>
        <w:jc w:val="both"/>
        <w:rPr>
          <w:color w:val="000000" w:themeColor="text1"/>
          <w:sz w:val="24"/>
          <w:szCs w:val="24"/>
        </w:rPr>
      </w:pPr>
      <w:r w:rsidRPr="005F7A77">
        <w:rPr>
          <w:color w:val="000000" w:themeColor="text1"/>
          <w:sz w:val="24"/>
          <w:szCs w:val="24"/>
        </w:rPr>
        <w:t>Yüksek konut kiraları artık milyonlarca vatandaşımız için yalnızca bir barınma meselesi değil, doğrudan bir geçim meselesidir. Özellikle geliri sabit olan emeklilerimiz, asgari ücretlilerimiz ve dar gelirli vatandaşlarımız kazançlarının çok büyük bir bölümünü kiraya ayırmak zorunda kalmaktadır. Emeklinin, asgari ücretlinin başını sokacağı bir evin kirasını dahi karşılamakta zorlandığı bu tabloda, refahtan ve insanca bir hayattan söz etmek mümkün değildir.</w:t>
      </w:r>
    </w:p>
    <w:p w14:paraId="0000000D" w14:textId="77777777" w:rsidR="006901A9" w:rsidRPr="005F7A77" w:rsidRDefault="00000000">
      <w:pPr>
        <w:jc w:val="both"/>
        <w:rPr>
          <w:color w:val="000000" w:themeColor="text1"/>
          <w:sz w:val="24"/>
          <w:szCs w:val="24"/>
        </w:rPr>
      </w:pPr>
      <w:r w:rsidRPr="005F7A77">
        <w:rPr>
          <w:color w:val="000000" w:themeColor="text1"/>
          <w:sz w:val="24"/>
          <w:szCs w:val="24"/>
        </w:rPr>
        <w:t xml:space="preserve">Bu nedenle yüksek kiraların düşürülmesine yönelik yeni ve etkili modellerin acilen hayata geçirilmesi gerekmektedir. Partimizin daha önce bir çözüm yolu olarak kamuoyuyla paylaştığı TOKİ’nin Kiralık Sosyal Konut Projesi, bu açıdan önemli bir başlangıç niteliğindedir. Ancak üretilecek konut sayısının sınırlı kalması hâlinde, bu adımın kronikleşen barınma krizini tek başına çözmeye yetmeyeceği de açık bir gerçektir. </w:t>
      </w:r>
    </w:p>
    <w:p w14:paraId="0000000E" w14:textId="77777777" w:rsidR="006901A9" w:rsidRPr="005F7A77" w:rsidRDefault="00000000">
      <w:pPr>
        <w:jc w:val="both"/>
        <w:rPr>
          <w:color w:val="000000" w:themeColor="text1"/>
          <w:sz w:val="24"/>
          <w:szCs w:val="24"/>
        </w:rPr>
      </w:pPr>
      <w:r w:rsidRPr="005F7A77">
        <w:rPr>
          <w:color w:val="000000" w:themeColor="text1"/>
          <w:sz w:val="24"/>
          <w:szCs w:val="24"/>
        </w:rPr>
        <w:t>Kalıcı çözüm, yalnızca kira artışlarını sınırlamakla da mümkün değildir. Daha fazla konut üretilmesi, uygun maliyetli konut üretiminin desteklenmesi ve başta inşaat maliyetleri olmak üzere üretim maliyetlerinin düşürülmesi zorunludur.</w:t>
      </w:r>
    </w:p>
    <w:p w14:paraId="0000000F" w14:textId="77777777" w:rsidR="006901A9" w:rsidRPr="005F7A77" w:rsidRDefault="00000000">
      <w:pPr>
        <w:jc w:val="both"/>
        <w:rPr>
          <w:color w:val="000000" w:themeColor="text1"/>
          <w:sz w:val="24"/>
          <w:szCs w:val="24"/>
        </w:rPr>
      </w:pPr>
      <w:r w:rsidRPr="005F7A77">
        <w:rPr>
          <w:color w:val="000000" w:themeColor="text1"/>
          <w:sz w:val="24"/>
          <w:szCs w:val="24"/>
        </w:rPr>
        <w:t xml:space="preserve">Bugün yüksek faizlerin konut ve inşaat sektöründeki hareketliliği ciddi biçimde daralttığı da bir gerçektir. Yeni konut üretiminin yavaşlaması, yarının kira krizini daha da büyütecektir. Vatandaşımızın barınma hakkını tam anlamıyla güvence altına alan, konut üretimini ve konut </w:t>
      </w:r>
      <w:proofErr w:type="gramStart"/>
      <w:r w:rsidRPr="005F7A77">
        <w:rPr>
          <w:color w:val="000000" w:themeColor="text1"/>
          <w:sz w:val="24"/>
          <w:szCs w:val="24"/>
        </w:rPr>
        <w:lastRenderedPageBreak/>
        <w:t>arzını</w:t>
      </w:r>
      <w:proofErr w:type="gramEnd"/>
      <w:r w:rsidRPr="005F7A77">
        <w:rPr>
          <w:color w:val="000000" w:themeColor="text1"/>
          <w:sz w:val="24"/>
          <w:szCs w:val="24"/>
        </w:rPr>
        <w:t xml:space="preserve"> sürdürülebilir şekilde artıran bütüncül bir politikaya artık her zamankinden daha fazla ihtiyaç vardır. </w:t>
      </w:r>
    </w:p>
    <w:p w14:paraId="00000010" w14:textId="77777777" w:rsidR="006901A9" w:rsidRPr="005F7A77" w:rsidRDefault="006901A9">
      <w:pPr>
        <w:jc w:val="both"/>
        <w:rPr>
          <w:color w:val="000000" w:themeColor="text1"/>
          <w:sz w:val="24"/>
          <w:szCs w:val="24"/>
        </w:rPr>
      </w:pPr>
    </w:p>
    <w:p w14:paraId="00000011" w14:textId="77777777" w:rsidR="006901A9" w:rsidRPr="005F7A77" w:rsidRDefault="00000000">
      <w:pPr>
        <w:jc w:val="both"/>
        <w:rPr>
          <w:b/>
          <w:bCs/>
          <w:color w:val="000000" w:themeColor="text1"/>
          <w:sz w:val="24"/>
          <w:szCs w:val="24"/>
        </w:rPr>
      </w:pPr>
      <w:r w:rsidRPr="005F7A77">
        <w:rPr>
          <w:b/>
          <w:bCs/>
          <w:color w:val="000000" w:themeColor="text1"/>
          <w:sz w:val="24"/>
          <w:szCs w:val="24"/>
        </w:rPr>
        <w:t>ÇETELER YENİ, TEHLİKE ESKİ</w:t>
      </w:r>
    </w:p>
    <w:p w14:paraId="00000012" w14:textId="77777777" w:rsidR="006901A9" w:rsidRPr="005F7A77" w:rsidRDefault="00000000">
      <w:pPr>
        <w:jc w:val="both"/>
        <w:rPr>
          <w:color w:val="000000" w:themeColor="text1"/>
          <w:sz w:val="24"/>
          <w:szCs w:val="24"/>
        </w:rPr>
      </w:pPr>
      <w:bookmarkStart w:id="0" w:name="_mzj6s03b27j9" w:colFirst="0" w:colLast="0"/>
      <w:bookmarkEnd w:id="0"/>
      <w:r w:rsidRPr="005F7A77">
        <w:rPr>
          <w:color w:val="000000" w:themeColor="text1"/>
          <w:sz w:val="24"/>
          <w:szCs w:val="24"/>
        </w:rPr>
        <w:t xml:space="preserve">Türkiye, geçmişte çeteleşmenin, </w:t>
      </w:r>
      <w:proofErr w:type="spellStart"/>
      <w:r w:rsidRPr="005F7A77">
        <w:rPr>
          <w:color w:val="000000" w:themeColor="text1"/>
          <w:sz w:val="24"/>
          <w:szCs w:val="24"/>
        </w:rPr>
        <w:t>mafyatik</w:t>
      </w:r>
      <w:proofErr w:type="spellEnd"/>
      <w:r w:rsidRPr="005F7A77">
        <w:rPr>
          <w:color w:val="000000" w:themeColor="text1"/>
          <w:sz w:val="24"/>
          <w:szCs w:val="24"/>
        </w:rPr>
        <w:t xml:space="preserve"> yapıların ve suç örgütleri arasındaki alan kapma mücadelelerinin topluma ne kadar ağır bedeller ödettiğini tecrübe etmiştir. Bu yapılar yalnızca asayişi bozmakla kalmamış, şiddeti sıradanlaştırarak hukuka ve kamu düzenine duyulan güveni zedelemiştir. Güç kullanmanın, tehdidin, kolay yoldan para kazanmanın, gayrimeşru ve yasa dışı yollarla nüfuz elde etmenin özendirici hâle gelmesi, toplumsal değerlerde de ciddi tahribata yol açmıştır. </w:t>
      </w:r>
    </w:p>
    <w:p w14:paraId="00000013" w14:textId="77777777" w:rsidR="006901A9" w:rsidRPr="005F7A77" w:rsidRDefault="00000000">
      <w:pPr>
        <w:jc w:val="both"/>
        <w:rPr>
          <w:color w:val="000000" w:themeColor="text1"/>
          <w:sz w:val="24"/>
          <w:szCs w:val="24"/>
        </w:rPr>
      </w:pPr>
      <w:r w:rsidRPr="005F7A77">
        <w:rPr>
          <w:color w:val="000000" w:themeColor="text1"/>
          <w:sz w:val="24"/>
          <w:szCs w:val="24"/>
        </w:rPr>
        <w:t xml:space="preserve">Bugün yeni nesil çetecilik, geçmişte yaşanan sorunların sosyal medya ve dijital iletişim kanalları üzerinden farklı biçimlerde yeniden ortaya çıkması riskini taşımaktadır. Yasa dışı bahis, dolandırıcılık ve uyuşturucu ağları çocuklara ve gençlere daha kolay ulaşabilmektedir. </w:t>
      </w:r>
    </w:p>
    <w:p w14:paraId="00000014" w14:textId="77777777" w:rsidR="006901A9" w:rsidRPr="005F7A77" w:rsidRDefault="00000000">
      <w:pPr>
        <w:jc w:val="both"/>
        <w:rPr>
          <w:color w:val="000000" w:themeColor="text1"/>
          <w:sz w:val="24"/>
          <w:szCs w:val="24"/>
        </w:rPr>
      </w:pPr>
      <w:r w:rsidRPr="005F7A77">
        <w:rPr>
          <w:color w:val="000000" w:themeColor="text1"/>
          <w:sz w:val="24"/>
          <w:szCs w:val="24"/>
        </w:rPr>
        <w:t xml:space="preserve">Okulda ya da mahallede başlayan baskı, dışlama, tehdit ve güç gösterisi zamanla gruplaşmaya, şiddetin normalleşmesine ve çete kültürüne dönüşebilmektedir. </w:t>
      </w:r>
    </w:p>
    <w:p w14:paraId="00000015" w14:textId="77777777" w:rsidR="006901A9" w:rsidRPr="005F7A77" w:rsidRDefault="00000000">
      <w:pPr>
        <w:jc w:val="both"/>
        <w:rPr>
          <w:color w:val="000000" w:themeColor="text1"/>
          <w:sz w:val="24"/>
          <w:szCs w:val="24"/>
        </w:rPr>
      </w:pPr>
      <w:r w:rsidRPr="005F7A77">
        <w:rPr>
          <w:color w:val="000000" w:themeColor="text1"/>
          <w:sz w:val="24"/>
          <w:szCs w:val="24"/>
        </w:rPr>
        <w:t>Bu noktada sorumluluğu yalnızca çocuklara ve gençlere yüklemek doğru değildir. Devletin görevi ve sorumluluğu, suç işlendikten sonra operasyon yapmakla sınırlı değildir. Devlet, çocukları ve gençleri suç örgütlerinin etkisinden korumak için suç oluşmadan önce gerekli önlemleri almakla da yükümlüdür. Bunun için okullarda ve mahallelerde erken müdahale mekanizmaları kurulmalı, dijital ortamlar etkin biçimde takip edilmeli ve gençlerin suç örgütleri tarafından güç, statü ve kazanç vaatleriyle kandırılmasının önüne geçilmelidir.</w:t>
      </w:r>
    </w:p>
    <w:p w14:paraId="00000016" w14:textId="77777777" w:rsidR="006901A9" w:rsidRPr="005F7A77" w:rsidRDefault="00000000">
      <w:pPr>
        <w:jc w:val="both"/>
        <w:rPr>
          <w:color w:val="000000" w:themeColor="text1"/>
          <w:sz w:val="24"/>
          <w:szCs w:val="24"/>
        </w:rPr>
      </w:pPr>
      <w:r w:rsidRPr="005F7A77">
        <w:rPr>
          <w:color w:val="000000" w:themeColor="text1"/>
          <w:sz w:val="24"/>
          <w:szCs w:val="24"/>
        </w:rPr>
        <w:t>Çetecilik yalnızca bir asayiş sorunu değil, aynı zamanda sosyoekonomik ve sosyokültürel bir sorundur. Geleceğe dair umudu azalan, emeğiyle hayatını değiştirebileceğine inanmayan gençler; kolay para, güç ve statü vaatlerine daha açık hale gelmektedir. Ailede, okulda ve toplumda merhamet, vicdan, adalet, sorumluluk ve başkasının hakkına saygı gibi değerlerin yeterince aktarılmaması da şiddetin ve haksız kazancın normalleşmesine zemin hazırlamaktadır. Bu nedenle çetecilikle mücadele sadece polisiye tedbirlerle değil; ekonomik şartların iyileştirilmesi, gençlere gelecek umudu verilmesi ve ahlak, din ile değerler eğitiminin güçlendirilmesiyle mümkündür. Türkiye, geçmişte çeteciliğin topluma ödettiği ağır bedellerin yeni kuşaklara yeniden yaşatılmasına izin vermemelidir.</w:t>
      </w:r>
    </w:p>
    <w:p w14:paraId="00000017" w14:textId="77777777" w:rsidR="006901A9" w:rsidRPr="005F7A77" w:rsidRDefault="006901A9">
      <w:pPr>
        <w:jc w:val="both"/>
        <w:rPr>
          <w:b/>
          <w:bCs/>
          <w:color w:val="000000" w:themeColor="text1"/>
          <w:sz w:val="24"/>
          <w:szCs w:val="24"/>
        </w:rPr>
      </w:pPr>
    </w:p>
    <w:p w14:paraId="00000018" w14:textId="77777777" w:rsidR="006901A9" w:rsidRPr="005F7A77" w:rsidRDefault="00000000">
      <w:pPr>
        <w:jc w:val="both"/>
        <w:rPr>
          <w:b/>
          <w:bCs/>
          <w:color w:val="000000" w:themeColor="text1"/>
          <w:sz w:val="24"/>
          <w:szCs w:val="24"/>
        </w:rPr>
      </w:pPr>
      <w:r w:rsidRPr="005F7A77">
        <w:rPr>
          <w:b/>
          <w:bCs/>
          <w:color w:val="000000" w:themeColor="text1"/>
          <w:sz w:val="24"/>
          <w:szCs w:val="24"/>
        </w:rPr>
        <w:t xml:space="preserve">TESETTÜR PODYUM MALZEMESİ DEĞİLDİR, DİNÎ DEĞERLERİMİZ ALAY KONUSU YAPILAMAZ </w:t>
      </w:r>
    </w:p>
    <w:p w14:paraId="00000019" w14:textId="77777777" w:rsidR="006901A9" w:rsidRPr="005F7A77" w:rsidRDefault="00000000">
      <w:pPr>
        <w:jc w:val="both"/>
        <w:rPr>
          <w:color w:val="000000" w:themeColor="text1"/>
          <w:sz w:val="24"/>
          <w:szCs w:val="24"/>
        </w:rPr>
      </w:pPr>
      <w:r w:rsidRPr="005F7A77">
        <w:rPr>
          <w:color w:val="000000" w:themeColor="text1"/>
          <w:sz w:val="24"/>
          <w:szCs w:val="24"/>
        </w:rPr>
        <w:t xml:space="preserve">Müslüman kadının başörtüsü bir moda aksesuarı değil, Müslüman kadının </w:t>
      </w:r>
      <w:proofErr w:type="spellStart"/>
      <w:r w:rsidRPr="005F7A77">
        <w:rPr>
          <w:color w:val="000000" w:themeColor="text1"/>
          <w:sz w:val="24"/>
          <w:szCs w:val="24"/>
        </w:rPr>
        <w:t>İslamî</w:t>
      </w:r>
      <w:proofErr w:type="spellEnd"/>
      <w:r w:rsidRPr="005F7A77">
        <w:rPr>
          <w:color w:val="000000" w:themeColor="text1"/>
          <w:sz w:val="24"/>
          <w:szCs w:val="24"/>
        </w:rPr>
        <w:t xml:space="preserve"> kimliğinin göstergesi ve İslam’ın şiarlarındandır. 28 Şubat’ın başörtüsüne yönelik baskılarını geride bırakırken şimdi de tesettür düşmanlığının bir başka versiyonu olan tesettürü yozlaştırma ve içini boşaltma girişimleri ile karşı karşıya bulunmaktayız.</w:t>
      </w:r>
    </w:p>
    <w:p w14:paraId="0000001A" w14:textId="77777777" w:rsidR="006901A9" w:rsidRPr="005F7A77" w:rsidRDefault="00000000">
      <w:pPr>
        <w:jc w:val="both"/>
        <w:rPr>
          <w:color w:val="000000" w:themeColor="text1"/>
          <w:sz w:val="24"/>
          <w:szCs w:val="24"/>
        </w:rPr>
      </w:pPr>
      <w:r w:rsidRPr="005F7A77">
        <w:rPr>
          <w:color w:val="000000" w:themeColor="text1"/>
          <w:sz w:val="24"/>
          <w:szCs w:val="24"/>
        </w:rPr>
        <w:lastRenderedPageBreak/>
        <w:t xml:space="preserve">İstanbul </w:t>
      </w:r>
      <w:proofErr w:type="spellStart"/>
      <w:r w:rsidRPr="005F7A77">
        <w:rPr>
          <w:color w:val="000000" w:themeColor="text1"/>
          <w:sz w:val="24"/>
          <w:szCs w:val="24"/>
        </w:rPr>
        <w:t>Galataport’ta</w:t>
      </w:r>
      <w:proofErr w:type="spellEnd"/>
      <w:r w:rsidRPr="005F7A77">
        <w:rPr>
          <w:color w:val="000000" w:themeColor="text1"/>
          <w:sz w:val="24"/>
          <w:szCs w:val="24"/>
        </w:rPr>
        <w:t xml:space="preserve"> bir firma tarafından gerçekleştirilen defilede, Allah’ın emri olan tesettür, bir gösteri ve moda malzemesine dönüştürülmüş; Yüce Allah’ın kadınlar için baş tacı olan ayeti, kutsallığına yakışmayacak bir şekilde sergilenmiştir. </w:t>
      </w:r>
    </w:p>
    <w:p w14:paraId="0000001B" w14:textId="77777777" w:rsidR="006901A9" w:rsidRPr="005F7A77" w:rsidRDefault="00000000">
      <w:pPr>
        <w:jc w:val="both"/>
        <w:rPr>
          <w:color w:val="000000" w:themeColor="text1"/>
          <w:sz w:val="24"/>
          <w:szCs w:val="24"/>
        </w:rPr>
      </w:pPr>
      <w:r w:rsidRPr="005F7A77">
        <w:rPr>
          <w:color w:val="000000" w:themeColor="text1"/>
          <w:sz w:val="24"/>
          <w:szCs w:val="24"/>
        </w:rPr>
        <w:t>Dinî değerlerimizi bu şekilde alaya almak ve aşağılamak karşılıksız kalmamalı; kutsallarımızı hedef alan, yozlaştıran ve aşağılayan uygulamalara etkin hukuki tedbirler alınmalıdır.</w:t>
      </w:r>
    </w:p>
    <w:p w14:paraId="0000001C" w14:textId="77777777" w:rsidR="006901A9" w:rsidRPr="005F7A77" w:rsidRDefault="006901A9">
      <w:pPr>
        <w:jc w:val="both"/>
        <w:rPr>
          <w:color w:val="000000" w:themeColor="text1"/>
          <w:sz w:val="24"/>
          <w:szCs w:val="24"/>
        </w:rPr>
      </w:pPr>
    </w:p>
    <w:p w14:paraId="0000001D" w14:textId="77777777" w:rsidR="006901A9" w:rsidRPr="005F7A77" w:rsidRDefault="00000000">
      <w:pPr>
        <w:jc w:val="both"/>
        <w:rPr>
          <w:b/>
          <w:bCs/>
          <w:color w:val="000000" w:themeColor="text1"/>
          <w:sz w:val="24"/>
          <w:szCs w:val="24"/>
        </w:rPr>
      </w:pPr>
      <w:r w:rsidRPr="005F7A77">
        <w:rPr>
          <w:b/>
          <w:bCs/>
          <w:color w:val="000000" w:themeColor="text1"/>
          <w:sz w:val="24"/>
          <w:szCs w:val="24"/>
        </w:rPr>
        <w:t>ULUSLARARASI ATOM ENERJİSİ AJANSI (IAEA)’NIN KARARI ÇİFTE STANDARTTIR</w:t>
      </w:r>
    </w:p>
    <w:p w14:paraId="0000001E" w14:textId="77777777" w:rsidR="006901A9" w:rsidRPr="005F7A77" w:rsidRDefault="00000000">
      <w:pPr>
        <w:jc w:val="both"/>
        <w:rPr>
          <w:color w:val="000000" w:themeColor="text1"/>
          <w:sz w:val="24"/>
          <w:szCs w:val="24"/>
        </w:rPr>
      </w:pPr>
      <w:r w:rsidRPr="005F7A77">
        <w:rPr>
          <w:color w:val="000000" w:themeColor="text1"/>
          <w:sz w:val="24"/>
          <w:szCs w:val="24"/>
        </w:rPr>
        <w:t>Uluslararası Atom Enerjisi Ajansı’nın (IAEA) İran’ı “yükümlülüklere uymamakla” suçlayıp BM Güvenlik Konseyi’ne sevk etmesi, uluslararası sistemdeki çifte standardın tescilidir.</w:t>
      </w:r>
    </w:p>
    <w:p w14:paraId="0000001F" w14:textId="77777777" w:rsidR="006901A9" w:rsidRPr="005F7A77" w:rsidRDefault="00000000">
      <w:pPr>
        <w:jc w:val="both"/>
        <w:rPr>
          <w:color w:val="000000" w:themeColor="text1"/>
          <w:sz w:val="24"/>
          <w:szCs w:val="24"/>
        </w:rPr>
      </w:pPr>
      <w:r w:rsidRPr="005F7A77">
        <w:rPr>
          <w:color w:val="000000" w:themeColor="text1"/>
          <w:sz w:val="24"/>
          <w:szCs w:val="24"/>
        </w:rPr>
        <w:t xml:space="preserve">IAEA’nın ürettiği nükleer yalanların, uluslararası kamuoyunu ikna ederek askeri saldırıları meşrulaştırmaya ve küresel koalisyonlar oluşturmaya hizmet ettiği ortadadır.  Müzakere süreci devam ederken 28 Şubat'ta ABD ve </w:t>
      </w:r>
      <w:proofErr w:type="spellStart"/>
      <w:r w:rsidRPr="005F7A77">
        <w:rPr>
          <w:color w:val="000000" w:themeColor="text1"/>
          <w:sz w:val="24"/>
          <w:szCs w:val="24"/>
        </w:rPr>
        <w:t>siyonist</w:t>
      </w:r>
      <w:proofErr w:type="spellEnd"/>
      <w:r w:rsidRPr="005F7A77">
        <w:rPr>
          <w:color w:val="000000" w:themeColor="text1"/>
          <w:sz w:val="24"/>
          <w:szCs w:val="24"/>
        </w:rPr>
        <w:t xml:space="preserve"> işgal rejimi tarafından İran'a yönelik başlatılan saldırılardan önce de benzer taraflı tutumların sergilendiği unutulmamalıdır. Tam 47 yıldır sürdürülen “İran nükleer silaha 2 hafta kaldı” söylemleri, geçmişte Irak’ta uydurulan “cehennem silahları” yalanı gibi tüm dünyayı felakete sürüklemektedir.</w:t>
      </w:r>
    </w:p>
    <w:p w14:paraId="00000020" w14:textId="77777777" w:rsidR="006901A9" w:rsidRPr="005F7A77" w:rsidRDefault="00000000">
      <w:pPr>
        <w:jc w:val="both"/>
        <w:rPr>
          <w:color w:val="000000" w:themeColor="text1"/>
          <w:sz w:val="24"/>
          <w:szCs w:val="24"/>
        </w:rPr>
      </w:pPr>
      <w:r w:rsidRPr="005F7A77">
        <w:rPr>
          <w:color w:val="000000" w:themeColor="text1"/>
          <w:sz w:val="24"/>
          <w:szCs w:val="24"/>
        </w:rPr>
        <w:t>IAEA; 2015 Nükleer Anlaşması’yla şeffaflığını tescilleyen ve savaştan önce de ajansla iş birliğini sürdürerek tesislerini denetime açık tutan bir ülkeyi hedef almak yerine, anlaşmayı tek taraflı yıkan ABD’nin kurgucusu olmayı derhal bırakmalıdır.</w:t>
      </w:r>
    </w:p>
    <w:p w14:paraId="00000021" w14:textId="77777777" w:rsidR="006901A9" w:rsidRPr="005F7A77" w:rsidRDefault="00000000">
      <w:pPr>
        <w:jc w:val="both"/>
        <w:rPr>
          <w:color w:val="000000" w:themeColor="text1"/>
          <w:sz w:val="24"/>
          <w:szCs w:val="24"/>
        </w:rPr>
      </w:pPr>
      <w:r w:rsidRPr="005F7A77">
        <w:rPr>
          <w:color w:val="000000" w:themeColor="text1"/>
          <w:sz w:val="24"/>
          <w:szCs w:val="24"/>
        </w:rPr>
        <w:t xml:space="preserve">Ajans gerçek görevini yerine getirmek istiyorsa; ABD’nin çeşitli türdeki bombalarıyla dünyaya getirdiği yıkıma, </w:t>
      </w:r>
      <w:proofErr w:type="spellStart"/>
      <w:r w:rsidRPr="005F7A77">
        <w:rPr>
          <w:color w:val="000000" w:themeColor="text1"/>
          <w:sz w:val="24"/>
          <w:szCs w:val="24"/>
        </w:rPr>
        <w:t>siyonist</w:t>
      </w:r>
      <w:proofErr w:type="spellEnd"/>
      <w:r w:rsidRPr="005F7A77">
        <w:rPr>
          <w:color w:val="000000" w:themeColor="text1"/>
          <w:sz w:val="24"/>
          <w:szCs w:val="24"/>
        </w:rPr>
        <w:t xml:space="preserve"> rejimin Gazze ve Lübnan’da sivil halkın tepesine yağdırdığı tonlarca bombanın türüne ve saklanan nükleer tesislerine odaklanmalıdır.</w:t>
      </w:r>
    </w:p>
    <w:p w14:paraId="00000022" w14:textId="77777777" w:rsidR="006901A9" w:rsidRPr="005F7A77" w:rsidRDefault="00000000">
      <w:pPr>
        <w:jc w:val="both"/>
        <w:rPr>
          <w:color w:val="000000" w:themeColor="text1"/>
          <w:sz w:val="24"/>
          <w:szCs w:val="24"/>
        </w:rPr>
      </w:pPr>
      <w:r w:rsidRPr="005F7A77">
        <w:rPr>
          <w:color w:val="000000" w:themeColor="text1"/>
          <w:sz w:val="24"/>
          <w:szCs w:val="24"/>
        </w:rPr>
        <w:t xml:space="preserve">Nükleer Silahların Yayılmasının Önlenmesi Antlaşması'na (NPT) imza atmayan, nükleer cephaneliğini gizleyen </w:t>
      </w:r>
      <w:proofErr w:type="spellStart"/>
      <w:r w:rsidRPr="005F7A77">
        <w:rPr>
          <w:color w:val="000000" w:themeColor="text1"/>
          <w:sz w:val="24"/>
          <w:szCs w:val="24"/>
        </w:rPr>
        <w:t>siyonist</w:t>
      </w:r>
      <w:proofErr w:type="spellEnd"/>
      <w:r w:rsidRPr="005F7A77">
        <w:rPr>
          <w:color w:val="000000" w:themeColor="text1"/>
          <w:sz w:val="24"/>
          <w:szCs w:val="24"/>
        </w:rPr>
        <w:t xml:space="preserve"> terör rejiminin nükleer tesislerine bugüne kadar tek bir IAEA müfettişi girebilmiş midir? </w:t>
      </w:r>
    </w:p>
    <w:p w14:paraId="00000023" w14:textId="77777777" w:rsidR="006901A9" w:rsidRPr="005F7A77" w:rsidRDefault="00000000">
      <w:pPr>
        <w:jc w:val="both"/>
        <w:rPr>
          <w:color w:val="000000" w:themeColor="text1"/>
          <w:sz w:val="24"/>
          <w:szCs w:val="24"/>
        </w:rPr>
      </w:pPr>
      <w:bookmarkStart w:id="1" w:name="_k7qr87epk0jy" w:colFirst="0" w:colLast="0"/>
      <w:bookmarkEnd w:id="1"/>
      <w:r w:rsidRPr="005F7A77">
        <w:rPr>
          <w:color w:val="000000" w:themeColor="text1"/>
          <w:sz w:val="24"/>
          <w:szCs w:val="24"/>
        </w:rPr>
        <w:t>IAEA’nın sergilediği bu tehlikeli ve taraflı tutum, yarın bağımsız ülkelerin barışçıl nükleer çalışma haklarını gasp edip onları hedef almak için gerekçe olarak kullanılabilecek ahlaktan yoksun bir ikiyüzlülüktür.</w:t>
      </w:r>
    </w:p>
    <w:p w14:paraId="00000024" w14:textId="77777777" w:rsidR="006901A9" w:rsidRPr="005F7A77" w:rsidRDefault="006901A9">
      <w:pPr>
        <w:rPr>
          <w:color w:val="000000" w:themeColor="text1"/>
          <w:sz w:val="24"/>
          <w:szCs w:val="24"/>
        </w:rPr>
      </w:pPr>
    </w:p>
    <w:sectPr w:rsidR="006901A9" w:rsidRPr="005F7A77">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661F0887-01DC-4157-A996-F26D70CAC5B7}"/>
    <w:embedBold r:id="rId2" w:fontKey="{1D5ABE53-7AE9-44EE-9804-CC8B0D897683}"/>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9ED65F64-E861-411B-987D-9E509B61566F}"/>
  </w:font>
  <w:font w:name="Cambria">
    <w:panose1 w:val="02040503050406030204"/>
    <w:charset w:val="A2"/>
    <w:family w:val="roman"/>
    <w:pitch w:val="variable"/>
    <w:sig w:usb0="E00006FF" w:usb1="420024FF" w:usb2="02000000" w:usb3="00000000" w:csb0="0000019F" w:csb1="00000000"/>
    <w:embedRegular r:id="rId4" w:fontKey="{777D5DFE-9665-420D-A4FA-72F9AD8E878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1A9"/>
    <w:rsid w:val="005F7A77"/>
    <w:rsid w:val="006901A9"/>
    <w:rsid w:val="009339AA"/>
    <w:rsid w:val="00AD06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577F6"/>
  <w15:docId w15:val="{2200B3B5-608B-4CAF-9DF6-1DAA5C307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1192</Words>
  <Characters>6800</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enes akyüz</cp:lastModifiedBy>
  <cp:revision>2</cp:revision>
  <dcterms:created xsi:type="dcterms:W3CDTF">2026-09-16T12:21:00Z</dcterms:created>
  <dcterms:modified xsi:type="dcterms:W3CDTF">2026-09-16T13:01:00Z</dcterms:modified>
</cp:coreProperties>
</file>